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Oxelösund kommunfullmäktige</w:t>
      </w:r>
    </w:p>
    <w:p>
      <w:pPr>
        <w:pStyle w:val="Heading1"/>
      </w:pPr>
      <w:r>
        <w:t xml:space="preserve">Prioritera underhåll av kommunala vägar och gång- och cykelvägar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Oxelösund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Tekniska förvaltningens tillståndsrapport 2025 visar att 22 % av kommunens vägar har bristfällig beläggning. Detta skapar både säkerhetsrisker och ökade kostnader på sikt. Moderaterna vill prioritera förebyggande underhåll.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Oxelösund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öka anslaget för vägutunderhåll med 3 miljoner kronor per år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tekniska nämnden får i uppdrag att ta fram en prioriteringslista baserad på trafiksäkerhet.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gång- och cykelvägar runt skolor ska prioriteras.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status redovisas årligen i kommunfullmäktige.</w:t>
      </w:r>
    </w:p>
    <w:p>
      <w:pPr>
        <w:spacing w:before="360"/>
      </w:pPr>
    </w:p>
    <w:p>
      <w:r>
        <w:t xml:space="preserve">Oxelösund,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Oxelösund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2026-06-06T01:48:29.253Z</dcterms:created>
  <dcterms:modified xsi:type="dcterms:W3CDTF">2026-06-06T01:48:29.253Z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